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02C7" w14:textId="7ADBD350" w:rsidR="00425E7B" w:rsidRDefault="00425E7B" w:rsidP="00425E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E7B">
        <w:rPr>
          <w:rFonts w:ascii="Times New Roman" w:hAnsi="Times New Roman" w:cs="Times New Roman"/>
          <w:b/>
          <w:bCs/>
          <w:sz w:val="24"/>
          <w:szCs w:val="24"/>
        </w:rPr>
        <w:t>GHID AL AVERTIZORULUI DE INTEGRITATE</w:t>
      </w:r>
    </w:p>
    <w:p w14:paraId="5E469F65" w14:textId="77777777" w:rsidR="00425E7B" w:rsidRPr="00425E7B" w:rsidRDefault="00425E7B" w:rsidP="00425E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2DD87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legal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nr.361/2022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public, cu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divulgă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context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Conform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remunerate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nu,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public, precum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suferi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represalii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Conform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suspiciuni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rezonabile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efective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potenţiale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care s-au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susceptibile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producă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public, precum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lucrat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contact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sale, precum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încercări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ascunde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06BAB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Fapte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pot face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avertizărilor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5E7B">
        <w:rPr>
          <w:rFonts w:ascii="Times New Roman" w:hAnsi="Times New Roman" w:cs="Times New Roman"/>
          <w:sz w:val="24"/>
          <w:szCs w:val="24"/>
        </w:rPr>
        <w:t xml:space="preserve"> Pot face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avertizărilor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faptele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constau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inacţiune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nerespectări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precum: </w:t>
      </w:r>
    </w:p>
    <w:p w14:paraId="596AB1FE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>;</w:t>
      </w:r>
    </w:p>
    <w:p w14:paraId="131D2C74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pieţele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spălării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banilor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finanţării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terorismului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9F2B8D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conformitatea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97447E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AC57FA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radiologică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nucleară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117F1B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alimentelor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hranei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bunăstarea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469BE1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sănătatea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>;</w:t>
      </w:r>
    </w:p>
    <w:p w14:paraId="7DE865A4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consumatorilor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>;</w:t>
      </w:r>
    </w:p>
    <w:p w14:paraId="5585F493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private,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personal,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reţelelor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810CCF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art. 325 din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Tratatul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cum sunt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detaliate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851F2D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piaţa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art. 26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Tratatul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concurenţă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ajutoare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stat,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piaţa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încalcă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impozitarea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mecanismele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scop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avantaj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contravine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impozitare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contravenţii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contravin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2B4026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C7B5B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faptă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E15C1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principal,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canalelor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interne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public, precum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însă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canalul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intern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canalul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extern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9C3F76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hârtie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format electronic,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liniile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telefonice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mesagerie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vocală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întâlnire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public. </w:t>
      </w:r>
    </w:p>
    <w:p w14:paraId="4C132246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canalele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externe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reprezentate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primească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>:</w:t>
      </w:r>
    </w:p>
    <w:p w14:paraId="21878228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soluționează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lor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competență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>;</w:t>
      </w:r>
    </w:p>
    <w:p w14:paraId="155D867C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>;</w:t>
      </w:r>
    </w:p>
    <w:p w14:paraId="6919A6DD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raportările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202A73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raportării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cel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BE2DBA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B9C2F1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public; </w:t>
      </w:r>
    </w:p>
    <w:p w14:paraId="4F4FAA43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C9AA1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vizată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cunoscută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F7879F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susceptibile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public, precum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95A1AF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raportării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23A8A1" w14:textId="66344ACB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Prin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 se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examinează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soluţionează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indicii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Modalităţi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faptă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principal,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canalelor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interne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r w:rsidR="000934AA">
        <w:rPr>
          <w:rFonts w:ascii="Times New Roman" w:hAnsi="Times New Roman" w:cs="Times New Roman"/>
          <w:sz w:val="24"/>
          <w:szCs w:val="24"/>
        </w:rPr>
        <w:t xml:space="preserve">Scoala Gimnaziala Recea </w:t>
      </w:r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însă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canalele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externe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cum sunt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129D88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raportează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care s-au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susceptibile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producă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public, precum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au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232E9E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aleg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adreseze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canalul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extern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o pot face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289F4B" w14:textId="19DE0826" w:rsidR="00425E7B" w:rsidRPr="00425E7B" w:rsidRDefault="00425E7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e-mail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   </w:t>
      </w:r>
      <w:r w:rsidR="000934AA">
        <w:t>scoalarecea@yahoo.com</w:t>
      </w:r>
    </w:p>
    <w:p w14:paraId="17DAF42B" w14:textId="23A3F381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poștale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4AA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="000934AA">
        <w:rPr>
          <w:rFonts w:ascii="Times New Roman" w:hAnsi="Times New Roman" w:cs="Times New Roman"/>
          <w:sz w:val="24"/>
          <w:szCs w:val="24"/>
        </w:rPr>
        <w:t xml:space="preserve"> Gimnaziala Recea 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str.</w:t>
      </w:r>
      <w:r w:rsidR="000934AA">
        <w:rPr>
          <w:rFonts w:ascii="Times New Roman" w:hAnsi="Times New Roman" w:cs="Times New Roman"/>
          <w:sz w:val="24"/>
          <w:szCs w:val="24"/>
        </w:rPr>
        <w:t>Europa</w:t>
      </w:r>
      <w:proofErr w:type="spellEnd"/>
      <w:r w:rsidR="00093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,Nr.</w:t>
      </w:r>
      <w:r w:rsidR="000934AA">
        <w:rPr>
          <w:rFonts w:ascii="Times New Roman" w:hAnsi="Times New Roman" w:cs="Times New Roman"/>
          <w:sz w:val="24"/>
          <w:szCs w:val="24"/>
        </w:rPr>
        <w:t xml:space="preserve">75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loc.</w:t>
      </w:r>
      <w:r w:rsidR="000934AA">
        <w:rPr>
          <w:rFonts w:ascii="Times New Roman" w:hAnsi="Times New Roman" w:cs="Times New Roman"/>
          <w:sz w:val="24"/>
          <w:szCs w:val="24"/>
        </w:rPr>
        <w:t>Recea</w:t>
      </w:r>
      <w:proofErr w:type="spellEnd"/>
      <w:r w:rsidR="00093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Maramureș </w:t>
      </w:r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38939A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public, care au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sesizare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convinși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fapta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prezumţia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bună-credinţă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contrară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>;</w:t>
      </w:r>
    </w:p>
    <w:p w14:paraId="270AACAD" w14:textId="77777777" w:rsid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cercetat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disciplinar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companiilor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regiilor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societăților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cu capital de stat, au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invita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presa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sindicatului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Internet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cu cel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înaintea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nulităţii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sancţiunii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5A265A" w14:textId="0183596F" w:rsidR="001D5096" w:rsidRPr="00425E7B" w:rsidRDefault="00425E7B">
      <w:pPr>
        <w:rPr>
          <w:rFonts w:ascii="Times New Roman" w:hAnsi="Times New Roman" w:cs="Times New Roman"/>
          <w:sz w:val="24"/>
          <w:szCs w:val="24"/>
        </w:rPr>
      </w:pP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cel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reclamat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avertizarea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direct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indirect,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control,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inspecţie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alt organism similar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avertizorului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ascunzându-i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; </w:t>
      </w:r>
      <w:r w:rsidRPr="00425E7B">
        <w:rPr>
          <w:rFonts w:ascii="Times New Roman" w:hAnsi="Times New Roman" w:cs="Times New Roman"/>
          <w:sz w:val="24"/>
          <w:szCs w:val="24"/>
        </w:rPr>
        <w:sym w:font="Symbol" w:char="F0B7"/>
      </w:r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avertizărilor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la art. 5 lit. a)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b) din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nr.571/2004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semnalează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art. 12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. (2) lit. a) din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nr. 682/2002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E7B">
        <w:rPr>
          <w:rFonts w:ascii="Times New Roman" w:hAnsi="Times New Roman" w:cs="Times New Roman"/>
          <w:sz w:val="24"/>
          <w:szCs w:val="24"/>
        </w:rPr>
        <w:t>martorilor</w:t>
      </w:r>
      <w:proofErr w:type="spellEnd"/>
      <w:r w:rsidRPr="00425E7B">
        <w:rPr>
          <w:rFonts w:ascii="Times New Roman" w:hAnsi="Times New Roman" w:cs="Times New Roman"/>
          <w:sz w:val="24"/>
          <w:szCs w:val="24"/>
        </w:rPr>
        <w:t>.</w:t>
      </w:r>
    </w:p>
    <w:sectPr w:rsidR="001D5096" w:rsidRPr="00425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38EA" w14:textId="77777777" w:rsidR="00324073" w:rsidRDefault="00324073" w:rsidP="00C7755B">
      <w:pPr>
        <w:spacing w:after="0" w:line="240" w:lineRule="auto"/>
      </w:pPr>
      <w:r>
        <w:separator/>
      </w:r>
    </w:p>
  </w:endnote>
  <w:endnote w:type="continuationSeparator" w:id="0">
    <w:p w14:paraId="627992E3" w14:textId="77777777" w:rsidR="00324073" w:rsidRDefault="00324073" w:rsidP="00C7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EA2D" w14:textId="77777777" w:rsidR="00324073" w:rsidRDefault="00324073" w:rsidP="00C7755B">
      <w:pPr>
        <w:spacing w:after="0" w:line="240" w:lineRule="auto"/>
      </w:pPr>
      <w:r>
        <w:separator/>
      </w:r>
    </w:p>
  </w:footnote>
  <w:footnote w:type="continuationSeparator" w:id="0">
    <w:p w14:paraId="3107BA15" w14:textId="77777777" w:rsidR="00324073" w:rsidRDefault="00324073" w:rsidP="00C77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63"/>
    <w:rsid w:val="000934AA"/>
    <w:rsid w:val="000A4E43"/>
    <w:rsid w:val="001D5096"/>
    <w:rsid w:val="002A4710"/>
    <w:rsid w:val="00324073"/>
    <w:rsid w:val="00425E7B"/>
    <w:rsid w:val="007D2863"/>
    <w:rsid w:val="00C7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C74F"/>
  <w15:chartTrackingRefBased/>
  <w15:docId w15:val="{4665FEB3-5D98-44CF-BE5B-227D2104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E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5B"/>
  </w:style>
  <w:style w:type="paragraph" w:styleId="Footer">
    <w:name w:val="footer"/>
    <w:basedOn w:val="Normal"/>
    <w:link w:val="FooterChar"/>
    <w:uiPriority w:val="99"/>
    <w:unhideWhenUsed/>
    <w:rsid w:val="00C7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Scoala Gimnaziala Recea</cp:lastModifiedBy>
  <cp:revision>4</cp:revision>
  <dcterms:created xsi:type="dcterms:W3CDTF">2025-03-10T08:40:00Z</dcterms:created>
  <dcterms:modified xsi:type="dcterms:W3CDTF">2025-10-14T07:54:00Z</dcterms:modified>
</cp:coreProperties>
</file>